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29D5" w14:textId="1DCF27B7" w:rsidR="0064382F" w:rsidRDefault="008F6EE0">
      <w:pPr>
        <w:rPr>
          <w:sz w:val="23"/>
          <w:szCs w:val="23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D92EADF" wp14:editId="14596E03">
            <wp:extent cx="5773282" cy="996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5"/>
                    <a:stretch/>
                  </pic:blipFill>
                  <pic:spPr bwMode="auto">
                    <a:xfrm>
                      <a:off x="0" y="0"/>
                      <a:ext cx="5791576" cy="9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36BDA" w14:textId="77777777" w:rsidR="002D3FF8" w:rsidRPr="00C76122" w:rsidRDefault="002D3FF8">
      <w:pPr>
        <w:rPr>
          <w:sz w:val="23"/>
          <w:szCs w:val="23"/>
        </w:rPr>
      </w:pPr>
    </w:p>
    <w:p w14:paraId="1DF043A8" w14:textId="0CEDA882" w:rsidR="0064382F" w:rsidRPr="00EA381B" w:rsidRDefault="0064382F" w:rsidP="001317E3">
      <w:pPr>
        <w:pStyle w:val="2"/>
        <w:spacing w:before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381B">
        <w:rPr>
          <w:rFonts w:ascii="Times New Roman" w:hAnsi="Times New Roman" w:cs="Times New Roman"/>
          <w:color w:val="auto"/>
          <w:sz w:val="24"/>
          <w:szCs w:val="24"/>
        </w:rPr>
        <w:t>ПОСТ-РЕЛИЗ</w:t>
      </w:r>
    </w:p>
    <w:p w14:paraId="256050AF" w14:textId="26E62057" w:rsidR="0064382F" w:rsidRPr="00EA381B" w:rsidRDefault="0064382F" w:rsidP="001317E3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1B">
        <w:rPr>
          <w:rFonts w:ascii="Times New Roman" w:hAnsi="Times New Roman" w:cs="Times New Roman"/>
          <w:b/>
          <w:sz w:val="24"/>
          <w:szCs w:val="24"/>
        </w:rPr>
        <w:t>Итоги Международного жилищного конгресса (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13</w:t>
      </w:r>
      <w:r w:rsidRPr="00EA381B">
        <w:rPr>
          <w:rFonts w:ascii="Times New Roman" w:hAnsi="Times New Roman" w:cs="Times New Roman"/>
          <w:b/>
          <w:sz w:val="24"/>
          <w:szCs w:val="24"/>
        </w:rPr>
        <w:t>-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17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5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14:paraId="7B041C71" w14:textId="77777777" w:rsidR="0064382F" w:rsidRPr="00EA381B" w:rsidRDefault="0064382F" w:rsidP="001317E3">
      <w:pPr>
        <w:spacing w:before="60"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DC2BF6" w14:textId="4089A366" w:rsidR="008F6EE0" w:rsidRDefault="00E62EC6" w:rsidP="008D1B8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Москве состоялся Международный жилищный конгресс, который собрал на </w:t>
      </w:r>
      <w:r w:rsidR="009856A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площадке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84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762958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профессионалов рынка </w:t>
      </w:r>
      <w:r w:rsidR="00E75FC5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</w:t>
      </w:r>
      <w:r w:rsidR="00AF377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77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регионов</w:t>
      </w:r>
      <w:r w:rsidR="00EA381B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и ряда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дружественных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зарубежных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течение недели участники форума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активно пополняли багаж знаний, обменивались профессиональным опытом, заводили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новые партнерские связи.</w:t>
      </w:r>
      <w:r w:rsidR="00AF377A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Конгресс прошел при официальной поддержке Минстроя РФ.</w:t>
      </w:r>
    </w:p>
    <w:p w14:paraId="7B4E66B4" w14:textId="77777777" w:rsidR="002D3FF8" w:rsidRDefault="002D3FF8" w:rsidP="008D1B8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BB2557" w14:textId="30FA1F32" w:rsidR="00762958" w:rsidRPr="00EA381B" w:rsidRDefault="002D3FF8" w:rsidP="008D1B8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85347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DE9CBAB" wp14:editId="3EEBD8A2">
            <wp:simplePos x="0" y="0"/>
            <wp:positionH relativeFrom="margin">
              <wp:posOffset>3096895</wp:posOffset>
            </wp:positionH>
            <wp:positionV relativeFrom="paragraph">
              <wp:posOffset>97790</wp:posOffset>
            </wp:positionV>
            <wp:extent cx="2844000" cy="28440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площадке Центра международной торговли собрались 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ведущие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представители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профессионального 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сообщества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046A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Около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50% участников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представители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риэлторских организаций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0022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28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% </w:t>
      </w:r>
      <w:r w:rsidR="0071398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девелоперы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В Конгрессе 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также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приняли участие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62393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главы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крупнейших </w:t>
      </w:r>
      <w:r w:rsidR="00DE2F11" w:rsidRPr="002D3FF8">
        <w:rPr>
          <w:rStyle w:val="a4"/>
          <w:rFonts w:ascii="Times New Roman" w:hAnsi="Times New Roman" w:cs="Times New Roman"/>
          <w:b w:val="0"/>
          <w:spacing w:val="-8"/>
          <w:sz w:val="24"/>
          <w:szCs w:val="24"/>
          <w:shd w:val="clear" w:color="auto" w:fill="FFFFFF"/>
        </w:rPr>
        <w:t>IT-</w:t>
      </w:r>
      <w:r w:rsidR="00DE2F11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>компаний</w:t>
      </w:r>
      <w:r w:rsidR="00FE633A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 xml:space="preserve">, </w:t>
      </w:r>
      <w:r w:rsidR="00DE2F11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>банков, страховых, инвестиционных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организаций</w:t>
      </w:r>
      <w:r w:rsidR="0076295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консалтинговых и юридических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компани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6E9479AE" w14:textId="7B1D2893" w:rsidR="00FE633A" w:rsidRPr="00EA381B" w:rsidRDefault="00762958" w:rsidP="008D1B8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Деловая программа</w:t>
      </w:r>
      <w:r w:rsidR="00B27E2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Конгресса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стала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одной из самых масштабных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 всю историю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форума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Выступили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свыше 8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спикеров с докладами,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прошло более 3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мероприяти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</w:t>
      </w: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ключевым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направлениям работы ры</w:t>
      </w:r>
      <w:r w:rsidR="00CD4E0C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нка </w:t>
      </w:r>
      <w:r w:rsidR="00CD4E0C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>недвижимости, среди которых</w:t>
      </w:r>
      <w:r w:rsidR="00DE2F11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 xml:space="preserve"> </w:t>
      </w:r>
      <w:r w:rsidR="00AF377A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 xml:space="preserve">– </w:t>
      </w:r>
      <w:r w:rsidR="00FE633A" w:rsidRPr="002D3FF8">
        <w:rPr>
          <w:rStyle w:val="a4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>тематические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семинары, конференции и дискуссии, </w:t>
      </w:r>
      <w:r w:rsidR="00747000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многочисленные</w:t>
      </w:r>
      <w:r w:rsidR="00FE633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мастер-класс</w:t>
      </w:r>
      <w:r w:rsidR="00747000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</w:t>
      </w:r>
      <w:r w:rsidR="00FE633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32</w:t>
      </w:r>
      <w:r w:rsidR="00FE633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клуб</w:t>
      </w:r>
      <w:r w:rsidR="00AF377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E633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совет</w:t>
      </w:r>
      <w:r w:rsidR="00AF377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E633A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однодневные тренинги</w:t>
      </w:r>
      <w:r w:rsidR="00CA1591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а также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19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бизнес-тур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ов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выставочном пространстве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Центра Международной торговли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были представлены стенды ведущих игроков рынка: </w:t>
      </w:r>
      <w:r w:rsidR="00CF2D6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около 100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крупнейших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девелоперских, банковских, риэлторских организаций,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ведущие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агрегаторы, юридические и страховые компании. 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рошли Высшие брокерские курсы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уникальный формат углубленного недельного обучения от </w:t>
      </w:r>
      <w:r w:rsidR="0062509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ключевых практиков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рынка. В этот раз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курсы состоялись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трем направлениям –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стрит-ритейл</w:t>
      </w:r>
      <w:r w:rsidR="003C7529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элитная недвижимость и безопасность сделок.</w:t>
      </w:r>
    </w:p>
    <w:p w14:paraId="7ECD8CEF" w14:textId="74FF251D" w:rsidR="00271E31" w:rsidRPr="00E07082" w:rsidRDefault="00CA1591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Пленарное заседание 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Конгресса 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посвящено 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обсуждению драйверов роста рынка недвижимости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ыступили заместитель Министра строительства и ЖКХ </w:t>
      </w:r>
      <w:r w:rsidR="00747000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Никита </w:t>
      </w:r>
      <w:proofErr w:type="spellStart"/>
      <w:r w:rsidR="00747000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</w:t>
      </w:r>
      <w:proofErr w:type="spellEnd"/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заместитель руководителя Росреестра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Татьяна Громова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глава Донецкой народной республики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депутат Государственной думы РФ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Александр Якубовский, 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руководители крупнейших девелоперских компаний и профессиональных объединений. </w:t>
      </w:r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частности, прозвучали доклады генерального директора А101 </w:t>
      </w:r>
      <w:r w:rsidR="00E07082" w:rsidRPr="00E070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Игнатия </w:t>
      </w:r>
      <w:proofErr w:type="spellStart"/>
      <w:r w:rsidR="00E07082" w:rsidRPr="00E070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Данилиди</w:t>
      </w:r>
      <w:proofErr w:type="spellEnd"/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а также – члена правления, директора по правовым вопросам </w:t>
      </w:r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Capital</w:t>
      </w:r>
      <w:r w:rsidR="00E07082" w:rsidRP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Group</w:t>
      </w:r>
      <w:r w:rsidR="00E07082" w:rsidRP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7082" w:rsidRPr="00E070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Владимира Галактионова</w:t>
      </w:r>
      <w:r w:rsidR="00E070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BD1BFBB" w14:textId="6C50CA58" w:rsidR="00AE4F90" w:rsidRDefault="004E1F75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У</w:t>
      </w:r>
      <w:r w:rsidR="00C05966"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частники</w:t>
      </w:r>
      <w:r w:rsidR="004D2586"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Пленарного заседания</w:t>
      </w:r>
      <w:r w:rsidR="00C05966"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обсудили баланс спроса и предложения</w:t>
      </w:r>
      <w:r w:rsidR="00C05966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первичном рынке жилья. По словам </w:t>
      </w:r>
      <w:r w:rsidR="00C05966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Никиты </w:t>
      </w:r>
      <w:proofErr w:type="spellStart"/>
      <w:r w:rsidR="00C05966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Стасишина</w:t>
      </w:r>
      <w:proofErr w:type="spellEnd"/>
      <w:r w:rsidR="00C05966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сейчас на рынке наблюдается снижение объемов ввода, но при этом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планомерно растет количество сдаваемых проектов ИЖС – меры поддержки индивидуального строительства дают свои плоды. </w:t>
      </w:r>
    </w:p>
    <w:p w14:paraId="29950F13" w14:textId="7656405D" w:rsidR="00EA381B" w:rsidRDefault="002D3FF8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85347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BDB9852" wp14:editId="3463FB79">
            <wp:simplePos x="0" y="0"/>
            <wp:positionH relativeFrom="margin">
              <wp:posOffset>3098800</wp:posOffset>
            </wp:positionH>
            <wp:positionV relativeFrom="paragraph">
              <wp:posOffset>1125855</wp:posOffset>
            </wp:positionV>
            <wp:extent cx="2844000" cy="28440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224" w:rsidRP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Особое внимание спикеры Пленарного заседания уделили теме развития новых территорий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Как рассказал глава Донецкой народной республики </w:t>
      </w:r>
      <w:r w:rsidR="00AE4F90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AE4F90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сейчас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возглавляемый им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регион</w:t>
      </w:r>
      <w:r w:rsidR="00722E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сути</w:t>
      </w:r>
      <w:proofErr w:type="gramEnd"/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является главной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стройплощадкой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страны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«С 2022 года мы восстановили более 20 тыс. кв.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 жилых домов и социальных объектов. 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2030 году объемы жилищного строительства увеличатся до 2 млн кв.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 ежегодно, в регионе работают программы господдержки, застройщики могут воспользоваться льготным проектным финансированием»,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рассказал он. </w:t>
      </w:r>
    </w:p>
    <w:p w14:paraId="2CE80E6D" w14:textId="665A6D4E" w:rsidR="00EA381B" w:rsidRDefault="00EA381B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заметил </w:t>
      </w:r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Никита </w:t>
      </w:r>
      <w:proofErr w:type="spellStart"/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еще пару лет назад 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девелоперы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неохотой выходили в новые регионы, а сегодня там наблюдается высокая конкуренция. </w:t>
      </w:r>
    </w:p>
    <w:p w14:paraId="4BFEFC1D" w14:textId="6C4E5A13" w:rsidR="00EA381B" w:rsidRDefault="00EA381B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3FF8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Участники обсудили последние новации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работ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Росреестра. По словам </w:t>
      </w:r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Татьяны Громовой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на сегодняшний день </w:t>
      </w:r>
      <w:r w:rsidRPr="002D3FF8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100% услуг </w:t>
      </w:r>
      <w:r w:rsidRPr="002D3F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ведомство оказывает в электронном виде.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«Более того, в настоящее время 90% </w:t>
      </w:r>
      <w:r w:rsidRPr="002D3F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всех ипотечных сделок проводится в электронном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формате, а к 2030 году эта цифра дойдет до 100%. В системе Росреестра работает 20 электронных сервисов для физических и юридических лиц», </w:t>
      </w:r>
      <w:r w:rsidR="00722EE9" w:rsidRPr="009A29B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рассказала </w:t>
      </w:r>
      <w:r w:rsidRPr="009A29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Татьяна Громова</w:t>
      </w:r>
      <w:r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35CDA688" w14:textId="6A93A6AE" w:rsidR="00931ECE" w:rsidRDefault="00CF2D6C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бсудили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законодательные новации на рынке недвижимости. Из значимого: как сообщил </w:t>
      </w:r>
      <w:r w:rsidR="00481335" w:rsidRPr="004813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Александр Якубовский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готовится новый законопроект об управлении жилыми домами, а также документ, который упорядочит систему развития арендных домов.</w:t>
      </w:r>
    </w:p>
    <w:p w14:paraId="363788E0" w14:textId="3AABD780" w:rsidR="00481335" w:rsidRDefault="00481335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целом</w:t>
      </w:r>
      <w:r w:rsid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участники Конгресса успели обсудить большую часть 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текущих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проблем рынка. По словам Министра строительства и ЖКХ РФ </w:t>
      </w:r>
      <w:proofErr w:type="spellStart"/>
      <w:r w:rsidRPr="002273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Ирека</w:t>
      </w:r>
      <w:proofErr w:type="spellEnd"/>
      <w:r w:rsidRPr="002273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Файзуллина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273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мероприятие традиционно объединяет руководителей строительных компаний со всех регионов России. «В центре внимания 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участников мероприятия – ключевые аспекты отрасли: от инженерных изысканий до эксплуатации жилых домов»,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отметил Министр. По его словам, деловая программа мероприятия отражает современные вызовы и направлена на поддержку инициатив, развитие законодательной практики и поиск антикризисных решений. </w:t>
      </w:r>
    </w:p>
    <w:p w14:paraId="41A61184" w14:textId="44EACDEF" w:rsidR="00B01F2D" w:rsidRPr="00B01F2D" w:rsidRDefault="00700224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Значимую роль Конгресса отметили многие его участники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Так, по словам Г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еро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оциалистического труда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председател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Комитета по предпринимательству в сфере строительства ТПП РФ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4FAC" w:rsidRPr="00BE4F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Ефима </w:t>
      </w:r>
      <w:proofErr w:type="spellStart"/>
      <w:r w:rsidR="00BE4FAC" w:rsidRPr="00BE4F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Басина</w:t>
      </w:r>
      <w:proofErr w:type="spellEnd"/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уникальность мероприятия – в 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том, что оно собирает ключевых участников рынка. «Конгресс традиционно является площадкой для новых идей и инициатив в сфере жилищного строительства»,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заявил </w:t>
      </w:r>
      <w:r w:rsidR="00B01F2D" w:rsidRPr="00B01F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Ефим </w:t>
      </w:r>
      <w:proofErr w:type="spellStart"/>
      <w:r w:rsidR="00B01F2D" w:rsidRPr="00B01F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Басин</w:t>
      </w:r>
      <w:proofErr w:type="spellEnd"/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F4ADA62" w14:textId="37D56D74" w:rsidR="006317C4" w:rsidRDefault="001A2BF2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Живой интерес вызвали темы 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сственного интеллекта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97525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ведени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A97525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переговоров, 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рекламны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инструмент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цифровизации, инвестици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й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Особое внимание было уделено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вопросам комплексного освоения территорий, стандарта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девелоперской деятельности, градостроительства и архитектуры. </w:t>
      </w:r>
    </w:p>
    <w:p w14:paraId="69A5A0C9" w14:textId="27507C68" w:rsidR="006317C4" w:rsidRPr="006317C4" w:rsidRDefault="006317C4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Впервые в истории форума</w:t>
      </w:r>
      <w:r w:rsidR="00722E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помимо стандартных бизнес-туров,</w:t>
      </w:r>
      <w:r w:rsidR="009856A1" w:rsidRPr="00985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впервые появились </w:t>
      </w:r>
      <w:r w:rsidR="009856A1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вечерние ART-туры: экскурсии по достопримечательностям и ключевым объектам столицы</w:t>
      </w:r>
      <w:r w:rsidR="009856A1" w:rsidRPr="00985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597E2DA" w14:textId="6EAF6B8C" w:rsidR="002E5749" w:rsidRDefault="002E5749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Хедлайнером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Конгресса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стал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серийный предприниматель и </w:t>
      </w:r>
      <w:r w:rsidRPr="00B0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международный </w:t>
      </w:r>
      <w:r w:rsidR="006317C4"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инвестор</w:t>
      </w:r>
      <w:r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 xml:space="preserve"> – </w:t>
      </w:r>
      <w:r w:rsidR="006317C4"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Оскар Хартманн</w:t>
      </w:r>
      <w:r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, который провел тренинг по </w:t>
      </w:r>
      <w:proofErr w:type="spellStart"/>
      <w:r w:rsidR="006317C4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мегатрендам</w:t>
      </w:r>
      <w:proofErr w:type="spellEnd"/>
      <w:r w:rsidR="006317C4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 в сфере инвестиций</w:t>
      </w:r>
      <w:r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.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Спецгостями</w:t>
      </w:r>
      <w:proofErr w:type="spellEnd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E408D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Конгресса 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выступили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ведущий маркетолог России </w:t>
      </w:r>
      <w:r w:rsidR="006317C4" w:rsidRPr="00631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Игорь Манн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а также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основатель и президент Ассоциации </w:t>
      </w:r>
      <w:r w:rsidR="00CD09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спикеров СНГ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Радислав</w:t>
      </w:r>
      <w:proofErr w:type="spellEnd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Гандапас</w:t>
      </w:r>
      <w:proofErr w:type="spellEnd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ABDC934" w14:textId="2101AE56" w:rsidR="00E07082" w:rsidRPr="009C1BD9" w:rsidRDefault="00E07082" w:rsidP="009C1BD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Генеральным </w:t>
      </w:r>
      <w:r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спонсором мероприятия выступила компания </w:t>
      </w:r>
      <w:r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Capital Group</w:t>
      </w:r>
      <w:r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генеральным информационным партнером – </w:t>
      </w:r>
      <w:r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Циан</w:t>
      </w:r>
      <w:r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,</w:t>
      </w:r>
      <w:r w:rsidR="009C1BD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генеральным банком-спонсором –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ВТБ</w:t>
      </w:r>
      <w:r w:rsidR="009C1BD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главным технологическим партнером –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Метр Квадратный</w:t>
      </w:r>
      <w:r w:rsidR="009C1BD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главным партнером – </w:t>
      </w:r>
      <w:proofErr w:type="spellStart"/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Адвекс</w:t>
      </w:r>
      <w:proofErr w:type="spellEnd"/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lastRenderedPageBreak/>
        <w:t>Недвижимость</w:t>
      </w:r>
      <w:r w:rsidR="009C1BD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официальным партнером – </w:t>
      </w:r>
      <w:proofErr w:type="spellStart"/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Сбер</w:t>
      </w:r>
      <w:proofErr w:type="spellEnd"/>
      <w:r w:rsidR="009C1BD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официальными спонсорами –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А101, ГК «Семья»,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en-US"/>
        </w:rPr>
        <w:t>Palazzo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en-US"/>
        </w:rPr>
        <w:t>de</w:t>
      </w:r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  <w:lang w:val="en-US"/>
        </w:rPr>
        <w:t>Agoy</w:t>
      </w:r>
      <w:proofErr w:type="spellEnd"/>
      <w:r w:rsidR="009C1BD9" w:rsidRPr="009C1BD9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.</w:t>
      </w:r>
    </w:p>
    <w:p w14:paraId="571A4134" w14:textId="5889D2B6" w:rsidR="00E07082" w:rsidRPr="009A29BC" w:rsidRDefault="007C336A" w:rsidP="009C1BD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Конгрессе приняли участие крупнейшие </w:t>
      </w:r>
      <w:r w:rsidR="00DB3F67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девелоперы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России. </w:t>
      </w:r>
      <w:r w:rsidR="002D3FF8" w:rsidRPr="009A29BC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2CD3009F" wp14:editId="648057A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952000" cy="2239405"/>
            <wp:effectExtent l="0" t="0" r="1270" b="8890"/>
            <wp:wrapTight wrapText="bothSides">
              <wp:wrapPolygon edited="0">
                <wp:start x="0" y="0"/>
                <wp:lineTo x="0" y="21502"/>
                <wp:lineTo x="21470" y="21502"/>
                <wp:lineTo x="2147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2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98D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рамках деловой программы с </w:t>
      </w:r>
      <w:r w:rsidR="00CD098D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докладами выступили представители </w:t>
      </w:r>
      <w:r w:rsidR="002A704A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ведущих</w:t>
      </w:r>
      <w:r w:rsidR="002A704A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</w:t>
      </w:r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девелоперских компаний </w:t>
      </w:r>
      <w:r w:rsidR="00E07082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- </w:t>
      </w:r>
      <w:r w:rsidR="00E07082"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Capital Group</w:t>
      </w:r>
      <w:r w:rsidR="00E07082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</w:t>
      </w:r>
      <w:r w:rsidR="00E07082"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А101</w:t>
      </w:r>
      <w:r w:rsidR="00E07082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Кортрос</w:t>
      </w:r>
      <w:proofErr w:type="spellEnd"/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,</w:t>
      </w:r>
      <w:r w:rsidR="00CD098D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ФСК, </w:t>
      </w:r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ПИК, Самолет, </w:t>
      </w:r>
      <w:proofErr w:type="spellStart"/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GloraX</w:t>
      </w:r>
      <w:proofErr w:type="spellEnd"/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Донстрой</w:t>
      </w:r>
      <w:proofErr w:type="spellEnd"/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Гранель</w:t>
      </w:r>
      <w:proofErr w:type="spellEnd"/>
      <w:r w:rsidR="00A55A33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</w:t>
      </w:r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  <w:lang w:val="en-US"/>
        </w:rPr>
        <w:t>Dogma</w:t>
      </w:r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Семья, </w:t>
      </w:r>
      <w:proofErr w:type="spellStart"/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Unikey</w:t>
      </w:r>
      <w:proofErr w:type="spellEnd"/>
      <w:r w:rsidR="00CD098D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Аlias</w:t>
      </w:r>
      <w:proofErr w:type="spellEnd"/>
      <w:r w:rsidR="00A55A33" w:rsidRPr="009A29BC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Group,</w:t>
      </w:r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5A33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Основа, </w:t>
      </w:r>
      <w:proofErr w:type="spellStart"/>
      <w:r w:rsidR="009A29BC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Атомстройкомплекс</w:t>
      </w:r>
      <w:proofErr w:type="spellEnd"/>
      <w:r w:rsidR="009A29BC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, </w:t>
      </w:r>
      <w:r w:rsidR="00A55A33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Level Group, </w:t>
      </w:r>
      <w:r w:rsidR="009A29BC" w:rsidRPr="009A29BC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К8,</w:t>
      </w:r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Pioneer, </w:t>
      </w:r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Синара Девелопмент, </w:t>
      </w:r>
      <w:proofErr w:type="spellStart"/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Инсити</w:t>
      </w:r>
      <w:proofErr w:type="spellEnd"/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Еврострой</w:t>
      </w:r>
      <w:proofErr w:type="spellEnd"/>
      <w:r w:rsidR="009A29BC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Крост,</w:t>
      </w:r>
      <w:r w:rsid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5A33"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многих других</w:t>
      </w:r>
      <w:r w:rsidRPr="009A2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девелоперских организаций из большинства регионов РФ.</w:t>
      </w:r>
    </w:p>
    <w:p w14:paraId="5F4EA2D4" w14:textId="5B0487BB" w:rsidR="0064382F" w:rsidRPr="00B01F2D" w:rsidRDefault="009856A1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F8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="00F748EF" w:rsidRPr="002D3FF8">
        <w:rPr>
          <w:rFonts w:ascii="Times New Roman" w:hAnsi="Times New Roman" w:cs="Times New Roman"/>
          <w:spacing w:val="-4"/>
          <w:sz w:val="24"/>
          <w:szCs w:val="24"/>
        </w:rPr>
        <w:t>ыли</w:t>
      </w:r>
      <w:r w:rsidR="00407BE9" w:rsidRPr="002D3FF8">
        <w:rPr>
          <w:rFonts w:ascii="Times New Roman" w:hAnsi="Times New Roman" w:cs="Times New Roman"/>
          <w:spacing w:val="-4"/>
          <w:sz w:val="24"/>
          <w:szCs w:val="24"/>
        </w:rPr>
        <w:t xml:space="preserve"> подв</w:t>
      </w:r>
      <w:r w:rsidR="00E75FC5" w:rsidRPr="002D3FF8">
        <w:rPr>
          <w:rFonts w:ascii="Times New Roman" w:hAnsi="Times New Roman" w:cs="Times New Roman"/>
          <w:spacing w:val="-4"/>
          <w:sz w:val="24"/>
          <w:szCs w:val="24"/>
        </w:rPr>
        <w:t>едены</w:t>
      </w:r>
      <w:r w:rsidR="00407BE9" w:rsidRPr="002D3FF8">
        <w:rPr>
          <w:rFonts w:ascii="Times New Roman" w:hAnsi="Times New Roman" w:cs="Times New Roman"/>
          <w:spacing w:val="-4"/>
          <w:sz w:val="24"/>
          <w:szCs w:val="24"/>
        </w:rPr>
        <w:t xml:space="preserve"> итоги Международной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премии CREDO</w:t>
      </w:r>
      <w:r>
        <w:rPr>
          <w:rFonts w:ascii="Times New Roman" w:hAnsi="Times New Roman" w:cs="Times New Roman"/>
          <w:sz w:val="24"/>
          <w:szCs w:val="24"/>
        </w:rPr>
        <w:t>-2025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– 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ведущего конкурса </w:t>
      </w:r>
      <w:r w:rsidR="003E408D" w:rsidRPr="002D3FF8">
        <w:rPr>
          <w:rFonts w:ascii="Times New Roman" w:hAnsi="Times New Roman" w:cs="Times New Roman"/>
          <w:spacing w:val="-8"/>
          <w:sz w:val="24"/>
          <w:szCs w:val="24"/>
        </w:rPr>
        <w:t>сфере недвижимости, строительства и ипотеки</w:t>
      </w:r>
      <w:r w:rsidR="00407BE9" w:rsidRPr="002D3FF8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</w:t>
      </w:r>
      <w:r w:rsidR="00407BE9" w:rsidRPr="002D3FF8">
        <w:rPr>
          <w:rFonts w:ascii="Times New Roman" w:hAnsi="Times New Roman" w:cs="Times New Roman"/>
          <w:spacing w:val="-6"/>
          <w:sz w:val="24"/>
          <w:szCs w:val="24"/>
        </w:rPr>
        <w:t>Лауреаты получили награды из рук известного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актера театр</w:t>
      </w:r>
      <w:r w:rsidR="002B1F9B" w:rsidRPr="00B01F2D">
        <w:rPr>
          <w:rFonts w:ascii="Times New Roman" w:hAnsi="Times New Roman" w:cs="Times New Roman"/>
          <w:sz w:val="24"/>
          <w:szCs w:val="24"/>
        </w:rPr>
        <w:t>а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и кино </w:t>
      </w:r>
      <w:r w:rsidR="00F8713E" w:rsidRPr="002A704A">
        <w:rPr>
          <w:rFonts w:ascii="Times New Roman" w:hAnsi="Times New Roman" w:cs="Times New Roman"/>
          <w:b/>
          <w:bCs/>
          <w:sz w:val="24"/>
          <w:szCs w:val="24"/>
        </w:rPr>
        <w:t>Павла Деревянко</w:t>
      </w:r>
      <w:r w:rsidR="00E75FC5" w:rsidRPr="00B01F2D">
        <w:rPr>
          <w:rFonts w:ascii="Times New Roman" w:hAnsi="Times New Roman" w:cs="Times New Roman"/>
          <w:sz w:val="24"/>
          <w:szCs w:val="24"/>
        </w:rPr>
        <w:t>.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 </w:t>
      </w:r>
      <w:r w:rsidR="00C32C19" w:rsidRPr="00C32C19">
        <w:rPr>
          <w:rFonts w:ascii="Times New Roman" w:hAnsi="Times New Roman" w:cs="Times New Roman"/>
          <w:sz w:val="24"/>
          <w:szCs w:val="24"/>
        </w:rPr>
        <w:t xml:space="preserve">Традиционно состоялась первая деловая премия рынка недвижимости России Queen </w:t>
      </w:r>
      <w:proofErr w:type="spellStart"/>
      <w:r w:rsidR="00C32C19" w:rsidRPr="00C32C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32C19" w:rsidRPr="00C32C19">
        <w:rPr>
          <w:rFonts w:ascii="Times New Roman" w:hAnsi="Times New Roman" w:cs="Times New Roman"/>
          <w:sz w:val="24"/>
          <w:szCs w:val="24"/>
        </w:rPr>
        <w:t xml:space="preserve"> Real Estate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9976C" w14:textId="3F8A5AE4" w:rsidR="003E408D" w:rsidRPr="00B01F2D" w:rsidRDefault="0064382F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Московского конгресса была органично дополнена развлекательными </w:t>
      </w:r>
      <w:r w:rsidRPr="00C32C19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мероприятиями, спортивными соревнованиями, вечерними встречами, отличным</w:t>
      </w:r>
      <w:r w:rsidR="003E408D" w:rsidRPr="00C32C19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 нетворкингом</w:t>
      </w:r>
      <w:r w:rsidRPr="002A1CE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</w:t>
      </w:r>
      <w:r w:rsidR="00C3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08D" w:rsidRPr="00B01F2D">
        <w:rPr>
          <w:rFonts w:ascii="Times New Roman" w:hAnsi="Times New Roman" w:cs="Times New Roman"/>
          <w:sz w:val="24"/>
          <w:szCs w:val="24"/>
        </w:rPr>
        <w:t>На завершающей вечеринке</w:t>
      </w:r>
      <w:r w:rsidR="00F8713E">
        <w:rPr>
          <w:rFonts w:ascii="Times New Roman" w:hAnsi="Times New Roman" w:cs="Times New Roman"/>
          <w:sz w:val="24"/>
          <w:szCs w:val="24"/>
        </w:rPr>
        <w:t xml:space="preserve"> – </w:t>
      </w:r>
      <w:r w:rsidR="00F8713E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</w:t>
      </w:r>
      <w:r w:rsidR="00F8713E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–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 выступил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</w:t>
      </w:r>
      <w:r w:rsidR="00F8713E" w:rsidRPr="002A704A">
        <w:rPr>
          <w:rFonts w:ascii="Times New Roman" w:hAnsi="Times New Roman" w:cs="Times New Roman"/>
          <w:b/>
          <w:bCs/>
          <w:sz w:val="24"/>
          <w:szCs w:val="24"/>
        </w:rPr>
        <w:t>Леонид Агутин</w:t>
      </w:r>
      <w:r w:rsidR="003E408D" w:rsidRPr="00B01F2D">
        <w:rPr>
          <w:rFonts w:ascii="Times New Roman" w:hAnsi="Times New Roman" w:cs="Times New Roman"/>
          <w:sz w:val="24"/>
          <w:szCs w:val="24"/>
        </w:rPr>
        <w:t>.</w:t>
      </w:r>
    </w:p>
    <w:p w14:paraId="5EC30677" w14:textId="010EF63C" w:rsidR="00655C94" w:rsidRPr="00B01F2D" w:rsidRDefault="00F8713E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Конгресса</w:t>
      </w:r>
      <w:r w:rsidR="00655C94" w:rsidRPr="00B01F2D">
        <w:rPr>
          <w:rFonts w:ascii="Times New Roman" w:hAnsi="Times New Roman" w:cs="Times New Roman"/>
          <w:sz w:val="24"/>
          <w:szCs w:val="24"/>
        </w:rPr>
        <w:t xml:space="preserve"> осветили крупнейшие федеральные СМИ, среди которых</w:t>
      </w:r>
      <w:r>
        <w:rPr>
          <w:rFonts w:ascii="Times New Roman" w:hAnsi="Times New Roman" w:cs="Times New Roman"/>
          <w:sz w:val="24"/>
          <w:szCs w:val="24"/>
        </w:rPr>
        <w:t xml:space="preserve"> – Российская газета, РБК, РИА Новости, </w:t>
      </w:r>
      <w:r w:rsidRPr="00B01F2D">
        <w:rPr>
          <w:rFonts w:ascii="Times New Roman" w:hAnsi="Times New Roman" w:cs="Times New Roman"/>
          <w:sz w:val="24"/>
          <w:szCs w:val="24"/>
        </w:rPr>
        <w:t>ВГТРК</w:t>
      </w:r>
      <w:r>
        <w:rPr>
          <w:rFonts w:ascii="Times New Roman" w:hAnsi="Times New Roman" w:cs="Times New Roman"/>
          <w:sz w:val="24"/>
          <w:szCs w:val="24"/>
        </w:rPr>
        <w:t>, Известия, Федеральная служба новостей, Ведомости, Интерфакс</w:t>
      </w:r>
      <w:r w:rsidR="004B4A2B">
        <w:rPr>
          <w:rFonts w:ascii="Times New Roman" w:hAnsi="Times New Roman" w:cs="Times New Roman"/>
          <w:sz w:val="24"/>
          <w:szCs w:val="24"/>
        </w:rPr>
        <w:t xml:space="preserve">, </w:t>
      </w:r>
      <w:r w:rsidR="00655C94" w:rsidRPr="00B01F2D">
        <w:rPr>
          <w:rFonts w:ascii="Times New Roman" w:hAnsi="Times New Roman" w:cs="Times New Roman"/>
          <w:sz w:val="24"/>
          <w:szCs w:val="24"/>
        </w:rPr>
        <w:t>многие другие.</w:t>
      </w:r>
    </w:p>
    <w:p w14:paraId="7ADBE336" w14:textId="304D60B4" w:rsidR="0064382F" w:rsidRPr="00FD3404" w:rsidRDefault="0064382F" w:rsidP="008D1B8B">
      <w:pPr>
        <w:spacing w:before="120"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Конгресс пройдет с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762958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апреля 20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AA76E8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Санкт-Петербурге, на одной из ведущих выставочных площадок России – в </w:t>
      </w:r>
      <w:proofErr w:type="spellStart"/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Экспофоруме</w:t>
      </w:r>
      <w:proofErr w:type="spellEnd"/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открыта. Подробности: </w:t>
      </w:r>
      <w:hyperlink r:id="rId10" w:history="1">
        <w:r w:rsidR="00E75FC5" w:rsidRPr="00B01F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="00E75FC5" w:rsidRPr="00B01F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.russiacongress.ru</w:t>
        </w:r>
      </w:hyperlink>
    </w:p>
    <w:p w14:paraId="3BA7550B" w14:textId="02369204" w:rsidR="005333F1" w:rsidRDefault="005333F1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</w:p>
    <w:p w14:paraId="2399AB6F" w14:textId="1836C6B5" w:rsidR="008D1B8B" w:rsidRDefault="008D1B8B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</w:p>
    <w:p w14:paraId="1D764D95" w14:textId="43CD0EDA" w:rsidR="00CD4E0C" w:rsidRDefault="00CD4E0C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</w:p>
    <w:sectPr w:rsidR="00CD4E0C" w:rsidSect="005333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C8A"/>
    <w:multiLevelType w:val="hybridMultilevel"/>
    <w:tmpl w:val="454E35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B5"/>
    <w:rsid w:val="00041A71"/>
    <w:rsid w:val="00042C3B"/>
    <w:rsid w:val="000E4826"/>
    <w:rsid w:val="001317E3"/>
    <w:rsid w:val="001A2BF2"/>
    <w:rsid w:val="0020464E"/>
    <w:rsid w:val="002273A5"/>
    <w:rsid w:val="00244382"/>
    <w:rsid w:val="00271E31"/>
    <w:rsid w:val="002A1CE9"/>
    <w:rsid w:val="002A704A"/>
    <w:rsid w:val="002B1F9B"/>
    <w:rsid w:val="002D3FF8"/>
    <w:rsid w:val="002E3CC0"/>
    <w:rsid w:val="002E5749"/>
    <w:rsid w:val="00305EB8"/>
    <w:rsid w:val="00343AAD"/>
    <w:rsid w:val="003510B3"/>
    <w:rsid w:val="00362133"/>
    <w:rsid w:val="003A5695"/>
    <w:rsid w:val="003C7529"/>
    <w:rsid w:val="003E408D"/>
    <w:rsid w:val="00407BE9"/>
    <w:rsid w:val="004166DD"/>
    <w:rsid w:val="00432A7C"/>
    <w:rsid w:val="00462393"/>
    <w:rsid w:val="00481335"/>
    <w:rsid w:val="004B4A2B"/>
    <w:rsid w:val="004D2586"/>
    <w:rsid w:val="004E1F75"/>
    <w:rsid w:val="004F2FF4"/>
    <w:rsid w:val="00527A18"/>
    <w:rsid w:val="005333F1"/>
    <w:rsid w:val="00573D93"/>
    <w:rsid w:val="005B1C6B"/>
    <w:rsid w:val="005B42B5"/>
    <w:rsid w:val="005B5870"/>
    <w:rsid w:val="005D11E6"/>
    <w:rsid w:val="005F54E4"/>
    <w:rsid w:val="00625094"/>
    <w:rsid w:val="006317C4"/>
    <w:rsid w:val="0064382F"/>
    <w:rsid w:val="00655C94"/>
    <w:rsid w:val="00700224"/>
    <w:rsid w:val="00713988"/>
    <w:rsid w:val="00722EE9"/>
    <w:rsid w:val="00747000"/>
    <w:rsid w:val="00762958"/>
    <w:rsid w:val="007A0067"/>
    <w:rsid w:val="007A21A8"/>
    <w:rsid w:val="007A35A0"/>
    <w:rsid w:val="007C336A"/>
    <w:rsid w:val="008046A8"/>
    <w:rsid w:val="0087545F"/>
    <w:rsid w:val="00880FF3"/>
    <w:rsid w:val="00882C47"/>
    <w:rsid w:val="00885347"/>
    <w:rsid w:val="008D1B8B"/>
    <w:rsid w:val="008F4EDA"/>
    <w:rsid w:val="008F6EE0"/>
    <w:rsid w:val="00923299"/>
    <w:rsid w:val="00930569"/>
    <w:rsid w:val="00931071"/>
    <w:rsid w:val="00931ECE"/>
    <w:rsid w:val="009856A1"/>
    <w:rsid w:val="009957F5"/>
    <w:rsid w:val="009A29BC"/>
    <w:rsid w:val="009A5C14"/>
    <w:rsid w:val="009C1BD9"/>
    <w:rsid w:val="009F341F"/>
    <w:rsid w:val="00A02E81"/>
    <w:rsid w:val="00A42D3F"/>
    <w:rsid w:val="00A55A33"/>
    <w:rsid w:val="00A97525"/>
    <w:rsid w:val="00AA2A04"/>
    <w:rsid w:val="00AA76E8"/>
    <w:rsid w:val="00AE4F90"/>
    <w:rsid w:val="00AF377A"/>
    <w:rsid w:val="00B01F2D"/>
    <w:rsid w:val="00B27E20"/>
    <w:rsid w:val="00B85B70"/>
    <w:rsid w:val="00B977B2"/>
    <w:rsid w:val="00BB0649"/>
    <w:rsid w:val="00BC359D"/>
    <w:rsid w:val="00BE4FAC"/>
    <w:rsid w:val="00C05966"/>
    <w:rsid w:val="00C111F5"/>
    <w:rsid w:val="00C32C19"/>
    <w:rsid w:val="00C76122"/>
    <w:rsid w:val="00CA1591"/>
    <w:rsid w:val="00CD098D"/>
    <w:rsid w:val="00CD3120"/>
    <w:rsid w:val="00CD4E0C"/>
    <w:rsid w:val="00CF2D6C"/>
    <w:rsid w:val="00DB3F67"/>
    <w:rsid w:val="00DC0B7D"/>
    <w:rsid w:val="00DC26B6"/>
    <w:rsid w:val="00DE2F11"/>
    <w:rsid w:val="00E07082"/>
    <w:rsid w:val="00E26207"/>
    <w:rsid w:val="00E62EC6"/>
    <w:rsid w:val="00E75FC5"/>
    <w:rsid w:val="00EA381B"/>
    <w:rsid w:val="00EE644B"/>
    <w:rsid w:val="00F105C9"/>
    <w:rsid w:val="00F63E5B"/>
    <w:rsid w:val="00F718A1"/>
    <w:rsid w:val="00F748EF"/>
    <w:rsid w:val="00F8713E"/>
    <w:rsid w:val="00FD1B89"/>
    <w:rsid w:val="00FD3404"/>
    <w:rsid w:val="00FE633A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817"/>
  <w15:docId w15:val="{D780AF0B-1A12-4CAD-B532-280E428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382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8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64382F"/>
    <w:rPr>
      <w:color w:val="0000FF"/>
      <w:u w:val="single"/>
    </w:rPr>
  </w:style>
  <w:style w:type="character" w:styleId="a4">
    <w:name w:val="Strong"/>
    <w:basedOn w:val="a0"/>
    <w:uiPriority w:val="22"/>
    <w:qFormat/>
    <w:rsid w:val="0064382F"/>
    <w:rPr>
      <w:b/>
      <w:bCs/>
    </w:rPr>
  </w:style>
  <w:style w:type="paragraph" w:customStyle="1" w:styleId="msonormalmrcssattr">
    <w:name w:val="msonormal_mr_css_attr"/>
    <w:basedOn w:val="a"/>
    <w:rsid w:val="009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071"/>
    <w:rPr>
      <w:i/>
      <w:iCs/>
    </w:rPr>
  </w:style>
  <w:style w:type="table" w:styleId="a6">
    <w:name w:val="Table Grid"/>
    <w:basedOn w:val="a1"/>
    <w:uiPriority w:val="59"/>
    <w:rsid w:val="00AA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7E3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8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41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ussiacongres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DA14-4380-4BEA-9721-537F1171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2</cp:revision>
  <cp:lastPrinted>2025-10-23T11:02:00Z</cp:lastPrinted>
  <dcterms:created xsi:type="dcterms:W3CDTF">2025-10-23T13:24:00Z</dcterms:created>
  <dcterms:modified xsi:type="dcterms:W3CDTF">2025-10-23T13:24:00Z</dcterms:modified>
</cp:coreProperties>
</file>